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01A264EE" w:rsidR="00132032" w:rsidRPr="00474FE1" w:rsidRDefault="00F83E5E" w:rsidP="00F83E5E">
                            <w:pPr>
                              <w:ind w:left="0" w:firstLine="0"/>
                              <w:jc w:val="center"/>
                              <w:rPr>
                                <w:rFonts w:ascii="Book Antiqua" w:hAnsi="Book Antiqua"/>
                                <w:b/>
                                <w:bCs/>
                                <w:color w:val="FFFFFF" w:themeColor="background1"/>
                              </w:rPr>
                            </w:pPr>
                            <w:r w:rsidRPr="00F83E5E">
                              <w:rPr>
                                <w:rFonts w:ascii="Book Antiqua" w:hAnsi="Book Antiqua"/>
                                <w:b/>
                                <w:bCs/>
                                <w:color w:val="FFFFFF" w:themeColor="background1"/>
                              </w:rPr>
                              <w:t>Challenges of Implementing Community Policing in Urban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01A264EE" w:rsidR="00132032" w:rsidRPr="00474FE1" w:rsidRDefault="00F83E5E" w:rsidP="00F83E5E">
                      <w:pPr>
                        <w:ind w:left="0" w:firstLine="0"/>
                        <w:jc w:val="center"/>
                        <w:rPr>
                          <w:rFonts w:ascii="Book Antiqua" w:hAnsi="Book Antiqua"/>
                          <w:b/>
                          <w:bCs/>
                          <w:color w:val="FFFFFF" w:themeColor="background1"/>
                        </w:rPr>
                      </w:pPr>
                      <w:r w:rsidRPr="00F83E5E">
                        <w:rPr>
                          <w:rFonts w:ascii="Book Antiqua" w:hAnsi="Book Antiqua"/>
                          <w:b/>
                          <w:bCs/>
                          <w:color w:val="FFFFFF" w:themeColor="background1"/>
                        </w:rPr>
                        <w:t>Challenges of Implementing Community Policing in Urban Areas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F79D96" w14:textId="0C66198D" w:rsidR="00F83E5E" w:rsidRDefault="00F83E5E"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F83E5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Najeeb Ullah Khan</w:t>
      </w:r>
    </w:p>
    <w:p w14:paraId="290C3446" w14:textId="0ED5EE74"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F83E5E" w:rsidRPr="00F83E5E">
        <w:rPr>
          <w:rFonts w:ascii="Book Antiqua" w:hAnsi="Book Antiqua" w:cstheme="majorBidi"/>
          <w:szCs w:val="24"/>
        </w:rPr>
        <w:t>MS Scholar</w:t>
      </w:r>
      <w:r w:rsidR="00190CAE">
        <w:rPr>
          <w:rFonts w:ascii="Book Antiqua" w:hAnsi="Book Antiqua" w:cstheme="majorBidi"/>
          <w:szCs w:val="24"/>
        </w:rPr>
        <w:t xml:space="preserve">, </w:t>
      </w:r>
      <w:r w:rsidR="00F83E5E" w:rsidRPr="00F83E5E">
        <w:rPr>
          <w:rFonts w:ascii="Book Antiqua" w:hAnsi="Book Antiqua" w:cstheme="majorBidi"/>
          <w:szCs w:val="24"/>
        </w:rPr>
        <w:t>Quaid-</w:t>
      </w:r>
      <w:r w:rsidR="00F83E5E">
        <w:rPr>
          <w:rFonts w:ascii="Book Antiqua" w:hAnsi="Book Antiqua" w:cstheme="majorBidi"/>
          <w:szCs w:val="24"/>
        </w:rPr>
        <w:t>I</w:t>
      </w:r>
      <w:r w:rsidR="00F83E5E" w:rsidRPr="00F83E5E">
        <w:rPr>
          <w:rFonts w:ascii="Book Antiqua" w:hAnsi="Book Antiqua" w:cstheme="majorBidi"/>
          <w:szCs w:val="24"/>
        </w:rPr>
        <w:t>-Azam University</w:t>
      </w:r>
      <w:r w:rsidR="00226CC4">
        <w:rPr>
          <w:rFonts w:ascii="Book Antiqua" w:hAnsi="Book Antiqua" w:cstheme="majorBidi"/>
          <w:szCs w:val="24"/>
        </w:rPr>
        <w:t>,</w:t>
      </w:r>
      <w:r w:rsidR="00F83E5E" w:rsidRPr="00F83E5E">
        <w:rPr>
          <w:rFonts w:ascii="Book Antiqua" w:hAnsi="Book Antiqua" w:cstheme="majorBidi"/>
          <w:szCs w:val="24"/>
        </w:rPr>
        <w:t xml:space="preserve"> Islamabad</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5B896605" w:rsidR="00C525D2" w:rsidRPr="00776E22" w:rsidRDefault="00F83E5E" w:rsidP="00E50068">
            <w:pPr>
              <w:pStyle w:val="TableParagraph"/>
              <w:spacing w:line="237" w:lineRule="auto"/>
              <w:ind w:left="175"/>
              <w:rPr>
                <w:rFonts w:ascii="Book Antiqua" w:hAnsi="Book Antiqua"/>
                <w:color w:val="C00000"/>
              </w:rPr>
            </w:pPr>
            <w:r w:rsidRPr="00F83E5E">
              <w:rPr>
                <w:rFonts w:ascii="Book Antiqua" w:hAnsi="Book Antiqua"/>
                <w:color w:val="C00000"/>
                <w:w w:val="85"/>
              </w:rPr>
              <w:t xml:space="preserve">Community </w:t>
            </w:r>
            <w:r w:rsidR="00190CAE" w:rsidRPr="00F83E5E">
              <w:rPr>
                <w:rFonts w:ascii="Book Antiqua" w:hAnsi="Book Antiqua"/>
                <w:color w:val="C00000"/>
                <w:w w:val="85"/>
              </w:rPr>
              <w:t>Policing, Urban Areas, Mistrust, Law Enforcement, Diversity</w:t>
            </w:r>
            <w:r>
              <w:rPr>
                <w:rFonts w:ascii="Book Antiqua" w:hAnsi="Book Antiqua"/>
                <w:color w:val="C00000"/>
                <w:w w:val="85"/>
              </w:rPr>
              <w:t>.</w:t>
            </w:r>
          </w:p>
        </w:tc>
        <w:tc>
          <w:tcPr>
            <w:tcW w:w="7683" w:type="dxa"/>
            <w:vMerge w:val="restart"/>
            <w:tcBorders>
              <w:right w:val="nil"/>
            </w:tcBorders>
          </w:tcPr>
          <w:p w14:paraId="10FE8CC0" w14:textId="3D36E327" w:rsidR="00C525D2" w:rsidRPr="00586090" w:rsidRDefault="00F83E5E" w:rsidP="00E50068">
            <w:pPr>
              <w:pStyle w:val="TableParagraph"/>
              <w:ind w:left="102" w:right="116"/>
              <w:jc w:val="both"/>
              <w:rPr>
                <w:rFonts w:ascii="Book Antiqua" w:hAnsi="Book Antiqua"/>
                <w:spacing w:val="-1"/>
                <w:w w:val="90"/>
                <w:szCs w:val="24"/>
              </w:rPr>
            </w:pPr>
            <w:r w:rsidRPr="00F83E5E">
              <w:rPr>
                <w:rFonts w:ascii="Book Antiqua" w:hAnsi="Book Antiqua"/>
                <w:spacing w:val="-1"/>
                <w:w w:val="90"/>
                <w:sz w:val="24"/>
                <w:szCs w:val="24"/>
              </w:rPr>
              <w:t>This paper explores these challenges, focusing on resource constraints, cultural and social diversity, institutional resistance, and mistrust between law enforcement and communities. Urban areas often suffer from high crime rates, population density, and diverse socio-cultural</w:t>
            </w:r>
            <w:r>
              <w:rPr>
                <w:rFonts w:ascii="Book Antiqua" w:hAnsi="Book Antiqua"/>
                <w:spacing w:val="-1"/>
                <w:w w:val="90"/>
                <w:sz w:val="24"/>
                <w:szCs w:val="24"/>
              </w:rPr>
              <w:t xml:space="preserve">. </w:t>
            </w:r>
            <w:r w:rsidRPr="00F83E5E">
              <w:rPr>
                <w:rFonts w:ascii="Book Antiqua" w:hAnsi="Book Antiqua"/>
                <w:spacing w:val="-1"/>
                <w:w w:val="90"/>
                <w:sz w:val="24"/>
                <w:szCs w:val="24"/>
              </w:rPr>
              <w:t>Community policing requires significant investment in training, personnel, and technology, often conflicting with limited budgets. Furthermore, resistance to change within law enforcement agencies can stifle efforts to adopt community-oriented practices. The paper also highlights the role of cultural diversity in urban settings, where law enforcement may struggle to address the distinct needs of different communities effectively. Mistrust, fueled by historical tensions, incidents of police misconduct, and perceptions of bias, further complicates the development of partnerships between law enforcement and residents. Through qualitative analysis of case studies from various urban areas, this study identifies best practices and strategies to overcome these barriers. These include enhancing police accountability, promoting cultural competence, and increasing community engagement through dialogue and participatory programs. Ultimately, the findings emphasize the importance of a tailored, collaborative approach to implementing community policing in urban settings, ensuring that initiatives are both inclusive and responsive to the unique challenges of diverse communities. This research contributes to the ongoing discourse on improving public safety and trust in urban environments</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0ABBBC73"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F83E5E">
              <w:rPr>
                <w:rFonts w:ascii="Book Antiqua" w:hAnsi="Book Antiqua"/>
                <w:color w:val="C00000"/>
                <w:w w:val="95"/>
                <w:sz w:val="20"/>
              </w:rPr>
              <w:t>7</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1D676271" w:rsidR="00C525D2" w:rsidRPr="00EE35D8" w:rsidRDefault="00F83E5E" w:rsidP="00E50068">
            <w:pPr>
              <w:pStyle w:val="TableParagraph"/>
              <w:spacing w:line="244" w:lineRule="exact"/>
              <w:ind w:left="102"/>
              <w:rPr>
                <w:rFonts w:ascii="Book Antiqua" w:hAnsi="Book Antiqua" w:cstheme="majorBidi"/>
                <w:color w:val="C00000"/>
              </w:rPr>
            </w:pPr>
            <w:r w:rsidRPr="00F83E5E">
              <w:rPr>
                <w:rFonts w:ascii="Book Antiqua" w:hAnsi="Book Antiqua"/>
                <w:color w:val="C00000"/>
              </w:rPr>
              <w:t>najeebullah2565@gmail.com</w:t>
            </w: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411BA5C8"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190CAE">
              <w:rPr>
                <w:rFonts w:ascii="Book Antiqua" w:hAnsi="Book Antiqua" w:cstheme="majorBidi"/>
                <w:color w:val="C00000"/>
                <w:sz w:val="20"/>
              </w:rPr>
              <w:t>8</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0A1F3058" w:rsidR="00C525D2" w:rsidRPr="00EE35D8" w:rsidRDefault="00F83E5E" w:rsidP="00F83E5E">
            <w:pPr>
              <w:pStyle w:val="TableParagraph"/>
              <w:spacing w:line="222" w:lineRule="exact"/>
              <w:ind w:left="102"/>
              <w:jc w:val="both"/>
              <w:rPr>
                <w:rFonts w:ascii="Book Antiqua" w:hAnsi="Book Antiqua" w:cstheme="majorBidi"/>
                <w:color w:val="C00000"/>
                <w:sz w:val="20"/>
              </w:rPr>
            </w:pPr>
            <w:r w:rsidRPr="00F83E5E">
              <w:rPr>
                <w:rFonts w:ascii="Book Antiqua" w:hAnsi="Book Antiqua" w:cstheme="majorBidi"/>
                <w:color w:val="C00000"/>
                <w:sz w:val="20"/>
              </w:rPr>
              <w:t xml:space="preserve">Khan, N. U. (2024). Challenges of implementing community policing in urban areas. </w:t>
            </w:r>
            <w:r w:rsidRPr="00F83E5E">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F83E5E">
      <w:headerReference w:type="default" r:id="rId7"/>
      <w:footerReference w:type="default" r:id="rId8"/>
      <w:pgSz w:w="12240" w:h="15840"/>
      <w:pgMar w:top="1440" w:right="1440" w:bottom="1440" w:left="1440" w:header="720" w:footer="720" w:gutter="0"/>
      <w:pgNumType w:start="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6190" w14:textId="77777777" w:rsidR="000F7401" w:rsidRDefault="000F7401" w:rsidP="002B1BEE">
      <w:pPr>
        <w:spacing w:before="0" w:after="0" w:line="240" w:lineRule="auto"/>
      </w:pPr>
      <w:r>
        <w:separator/>
      </w:r>
    </w:p>
  </w:endnote>
  <w:endnote w:type="continuationSeparator" w:id="0">
    <w:p w14:paraId="153A4E6C" w14:textId="77777777" w:rsidR="000F7401" w:rsidRDefault="000F7401"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78C9E083" w:rsidR="002B1BEE" w:rsidRPr="002B1BEE" w:rsidRDefault="00190CAE">
        <w:pPr>
          <w:pStyle w:val="Footer"/>
          <w:jc w:val="right"/>
          <w:rPr>
            <w:color w:val="FF0000"/>
          </w:rPr>
        </w:pPr>
        <w:r>
          <w:rPr>
            <w:color w:val="FF0000"/>
          </w:rPr>
          <w:t>8</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A4E7" w14:textId="77777777" w:rsidR="000F7401" w:rsidRDefault="000F7401" w:rsidP="002B1BEE">
      <w:pPr>
        <w:spacing w:before="0" w:after="0" w:line="240" w:lineRule="auto"/>
      </w:pPr>
      <w:r>
        <w:separator/>
      </w:r>
    </w:p>
  </w:footnote>
  <w:footnote w:type="continuationSeparator" w:id="0">
    <w:p w14:paraId="4DBC234B" w14:textId="77777777" w:rsidR="000F7401" w:rsidRDefault="000F7401"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7E753F90" w:rsidR="002B1BEE" w:rsidRPr="002B1BEE" w:rsidRDefault="00F83E5E" w:rsidP="00F83E5E">
    <w:pPr>
      <w:pStyle w:val="Header"/>
      <w:jc w:val="center"/>
      <w:rPr>
        <w:b/>
        <w:bCs/>
      </w:rPr>
    </w:pPr>
    <w:r w:rsidRPr="00F83E5E">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Najeeb Ullah Khan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0F7401"/>
    <w:rsid w:val="00117872"/>
    <w:rsid w:val="00132032"/>
    <w:rsid w:val="00190CAE"/>
    <w:rsid w:val="001A067C"/>
    <w:rsid w:val="00222D2B"/>
    <w:rsid w:val="00226CC4"/>
    <w:rsid w:val="002B1BEE"/>
    <w:rsid w:val="002B467F"/>
    <w:rsid w:val="003965EA"/>
    <w:rsid w:val="003D7C7D"/>
    <w:rsid w:val="00407A57"/>
    <w:rsid w:val="004734D9"/>
    <w:rsid w:val="004C38F4"/>
    <w:rsid w:val="00514821"/>
    <w:rsid w:val="00561150"/>
    <w:rsid w:val="00586090"/>
    <w:rsid w:val="00684D2D"/>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AF0818"/>
    <w:rsid w:val="00B07F11"/>
    <w:rsid w:val="00C525D2"/>
    <w:rsid w:val="00C873F1"/>
    <w:rsid w:val="00D63704"/>
    <w:rsid w:val="00D94B25"/>
    <w:rsid w:val="00EB40F4"/>
    <w:rsid w:val="00ED6FD9"/>
    <w:rsid w:val="00EE35D8"/>
    <w:rsid w:val="00F0485A"/>
    <w:rsid w:val="00F1643E"/>
    <w:rsid w:val="00F83E5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13</cp:revision>
  <cp:lastPrinted>2025-01-24T18:52:00Z</cp:lastPrinted>
  <dcterms:created xsi:type="dcterms:W3CDTF">2025-01-24T18:55:00Z</dcterms:created>
  <dcterms:modified xsi:type="dcterms:W3CDTF">2025-02-21T02:56:00Z</dcterms:modified>
</cp:coreProperties>
</file>