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260346CB" w:rsidR="00132032" w:rsidRPr="00474FE1" w:rsidRDefault="0007525B" w:rsidP="00132032">
                            <w:pPr>
                              <w:ind w:left="0" w:firstLine="0"/>
                              <w:jc w:val="center"/>
                              <w:rPr>
                                <w:rFonts w:ascii="Book Antiqua" w:hAnsi="Book Antiqua"/>
                                <w:b/>
                                <w:bCs/>
                                <w:color w:val="FFFFFF" w:themeColor="background1"/>
                              </w:rPr>
                            </w:pPr>
                            <w:r w:rsidRPr="0007525B">
                              <w:rPr>
                                <w:rFonts w:ascii="Book Antiqua" w:hAnsi="Book Antiqua"/>
                                <w:b/>
                                <w:bCs/>
                                <w:color w:val="FFFFFF" w:themeColor="background1"/>
                              </w:rPr>
                              <w:t>Impact of Social media usage and Stress levels on Student mental health mediations Role of sleep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260346CB" w:rsidR="00132032" w:rsidRPr="00474FE1" w:rsidRDefault="0007525B" w:rsidP="00132032">
                      <w:pPr>
                        <w:ind w:left="0" w:firstLine="0"/>
                        <w:jc w:val="center"/>
                        <w:rPr>
                          <w:rFonts w:ascii="Book Antiqua" w:hAnsi="Book Antiqua"/>
                          <w:b/>
                          <w:bCs/>
                          <w:color w:val="FFFFFF" w:themeColor="background1"/>
                        </w:rPr>
                      </w:pPr>
                      <w:r w:rsidRPr="0007525B">
                        <w:rPr>
                          <w:rFonts w:ascii="Book Antiqua" w:hAnsi="Book Antiqua"/>
                          <w:b/>
                          <w:bCs/>
                          <w:color w:val="FFFFFF" w:themeColor="background1"/>
                        </w:rPr>
                        <w:t>Impact of Social media usage and Stress levels on Student mental health mediations Role of sleep quality</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AAC114" w14:textId="690472A8" w:rsidR="0007525B" w:rsidRDefault="0007525B"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0752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Sidra Bibi,</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Pr="000752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Maryam Yousaf,</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rd</w:t>
      </w:r>
      <w:r w:rsidRPr="000752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Muqadas Yaseen &amp;</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4</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0752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Sadaf Muneer </w:t>
      </w:r>
    </w:p>
    <w:p w14:paraId="120AB18F" w14:textId="18A22372" w:rsidR="00C525D2" w:rsidRPr="00586090" w:rsidRDefault="00C525D2" w:rsidP="00C525D2">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bookmarkStart w:id="0" w:name="_Hlk189940803"/>
      <w:r w:rsidR="0007525B">
        <w:rPr>
          <w:rFonts w:ascii="Book Antiqua" w:hAnsi="Book Antiqua" w:cstheme="majorBidi"/>
          <w:szCs w:val="24"/>
        </w:rPr>
        <w:t>S</w:t>
      </w:r>
      <w:r w:rsidR="0007525B" w:rsidRPr="0007525B">
        <w:rPr>
          <w:rFonts w:ascii="Book Antiqua" w:hAnsi="Book Antiqua" w:cstheme="majorBidi"/>
          <w:szCs w:val="24"/>
        </w:rPr>
        <w:t xml:space="preserve">cholar, </w:t>
      </w:r>
      <w:r w:rsidR="0007525B">
        <w:rPr>
          <w:rFonts w:ascii="Book Antiqua" w:hAnsi="Book Antiqua" w:cstheme="majorBidi"/>
          <w:szCs w:val="24"/>
        </w:rPr>
        <w:t>D</w:t>
      </w:r>
      <w:r w:rsidR="0007525B" w:rsidRPr="0007525B">
        <w:rPr>
          <w:rFonts w:ascii="Book Antiqua" w:hAnsi="Book Antiqua" w:cstheme="majorBidi"/>
          <w:szCs w:val="24"/>
        </w:rPr>
        <w:t>epartment of sociology, Thal University Bhakkar</w:t>
      </w:r>
    </w:p>
    <w:bookmarkEnd w:id="0"/>
    <w:p w14:paraId="258F3C5E" w14:textId="6D4284CA" w:rsidR="00C525D2" w:rsidRPr="00586090" w:rsidRDefault="00C525D2" w:rsidP="00C525D2">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2</w:t>
      </w:r>
      <w:r w:rsidRPr="00586090">
        <w:rPr>
          <w:rFonts w:ascii="Book Antiqua" w:hAnsi="Book Antiqua" w:cstheme="majorBidi"/>
          <w:szCs w:val="24"/>
          <w:vertAlign w:val="superscript"/>
        </w:rPr>
        <w:t xml:space="preserve">nd </w:t>
      </w:r>
      <w:r w:rsidR="0007525B" w:rsidRPr="0007525B">
        <w:rPr>
          <w:rFonts w:ascii="Book Antiqua" w:hAnsi="Book Antiqua" w:cstheme="majorBidi"/>
          <w:szCs w:val="24"/>
        </w:rPr>
        <w:t>Scholar, Department of sociology, Thal University Bhakkar</w:t>
      </w:r>
    </w:p>
    <w:p w14:paraId="2FC072A9" w14:textId="77777777" w:rsidR="0007525B" w:rsidRDefault="00C525D2" w:rsidP="007B118B">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3</w:t>
      </w:r>
      <w:r w:rsidRPr="00586090">
        <w:rPr>
          <w:rFonts w:ascii="Book Antiqua" w:hAnsi="Book Antiqua" w:cstheme="majorBidi"/>
          <w:szCs w:val="24"/>
          <w:vertAlign w:val="superscript"/>
        </w:rPr>
        <w:t xml:space="preserve">rd </w:t>
      </w:r>
      <w:r w:rsidR="0007525B" w:rsidRPr="0007525B">
        <w:rPr>
          <w:rFonts w:ascii="Book Antiqua" w:hAnsi="Book Antiqua" w:cstheme="majorBidi"/>
          <w:szCs w:val="24"/>
        </w:rPr>
        <w:t>Scholar, Department of sociology, Thal University Bhakkar</w:t>
      </w:r>
    </w:p>
    <w:p w14:paraId="290C3446" w14:textId="76A479FB" w:rsidR="00C525D2" w:rsidRPr="007B118B" w:rsidRDefault="0007525B" w:rsidP="007B118B">
      <w:pPr>
        <w:tabs>
          <w:tab w:val="left" w:pos="4116"/>
        </w:tabs>
        <w:ind w:left="-360" w:right="-306" w:firstLine="0"/>
        <w:jc w:val="center"/>
        <w:rPr>
          <w:rFonts w:ascii="Book Antiqua" w:hAnsi="Book Antiqua" w:cstheme="majorBidi"/>
          <w:sz w:val="20"/>
          <w:szCs w:val="20"/>
        </w:rPr>
      </w:pPr>
      <w:r>
        <w:rPr>
          <w:rFonts w:ascii="Book Antiqua" w:hAnsi="Book Antiqua" w:cstheme="majorBidi"/>
          <w:szCs w:val="24"/>
        </w:rPr>
        <w:t>4</w:t>
      </w:r>
      <w:r>
        <w:rPr>
          <w:rFonts w:ascii="Book Antiqua" w:hAnsi="Book Antiqua" w:cstheme="majorBidi"/>
          <w:szCs w:val="24"/>
          <w:vertAlign w:val="superscript"/>
        </w:rPr>
        <w:t>th</w:t>
      </w:r>
      <w:r>
        <w:rPr>
          <w:rFonts w:ascii="Book Antiqua" w:hAnsi="Book Antiqua" w:cstheme="majorBidi"/>
          <w:szCs w:val="24"/>
        </w:rPr>
        <w:t xml:space="preserve"> </w:t>
      </w:r>
      <w:r w:rsidRPr="0007525B">
        <w:rPr>
          <w:rFonts w:ascii="Book Antiqua" w:hAnsi="Book Antiqua" w:cstheme="majorBidi"/>
          <w:szCs w:val="24"/>
        </w:rPr>
        <w:t>Scholar, Department of sociology, Thal University Bhakkar</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4D296D8F" w:rsidR="00C525D2" w:rsidRPr="00776E22" w:rsidRDefault="0007525B" w:rsidP="00E50068">
            <w:pPr>
              <w:pStyle w:val="TableParagraph"/>
              <w:spacing w:line="237" w:lineRule="auto"/>
              <w:ind w:left="175"/>
              <w:rPr>
                <w:rFonts w:ascii="Book Antiqua" w:hAnsi="Book Antiqua"/>
                <w:color w:val="C00000"/>
              </w:rPr>
            </w:pPr>
            <w:r w:rsidRPr="0007525B">
              <w:rPr>
                <w:rFonts w:ascii="Book Antiqua" w:hAnsi="Book Antiqua"/>
                <w:color w:val="C00000"/>
                <w:w w:val="85"/>
              </w:rPr>
              <w:t xml:space="preserve">Social </w:t>
            </w:r>
            <w:r w:rsidR="009014E9" w:rsidRPr="0007525B">
              <w:rPr>
                <w:rFonts w:ascii="Book Antiqua" w:hAnsi="Book Antiqua"/>
                <w:color w:val="C00000"/>
                <w:w w:val="85"/>
              </w:rPr>
              <w:t xml:space="preserve">Media Usage, </w:t>
            </w:r>
            <w:r w:rsidRPr="0007525B">
              <w:rPr>
                <w:rFonts w:ascii="Book Antiqua" w:hAnsi="Book Antiqua"/>
                <w:color w:val="C00000"/>
                <w:w w:val="85"/>
              </w:rPr>
              <w:t xml:space="preserve">Stress </w:t>
            </w:r>
            <w:r w:rsidR="009014E9" w:rsidRPr="0007525B">
              <w:rPr>
                <w:rFonts w:ascii="Book Antiqua" w:hAnsi="Book Antiqua"/>
                <w:color w:val="C00000"/>
                <w:w w:val="85"/>
              </w:rPr>
              <w:t xml:space="preserve">Levels, </w:t>
            </w:r>
            <w:r w:rsidRPr="0007525B">
              <w:rPr>
                <w:rFonts w:ascii="Book Antiqua" w:hAnsi="Book Antiqua"/>
                <w:color w:val="C00000"/>
                <w:w w:val="85"/>
              </w:rPr>
              <w:t xml:space="preserve">Sleeping </w:t>
            </w:r>
            <w:r w:rsidR="009014E9" w:rsidRPr="0007525B">
              <w:rPr>
                <w:rFonts w:ascii="Book Antiqua" w:hAnsi="Book Antiqua"/>
                <w:color w:val="C00000"/>
                <w:w w:val="85"/>
              </w:rPr>
              <w:t>Quality, Awareness Social Networks, Anxiety, Job Stress</w:t>
            </w:r>
          </w:p>
        </w:tc>
        <w:tc>
          <w:tcPr>
            <w:tcW w:w="7683" w:type="dxa"/>
            <w:vMerge w:val="restart"/>
            <w:tcBorders>
              <w:right w:val="nil"/>
            </w:tcBorders>
          </w:tcPr>
          <w:p w14:paraId="10FE8CC0" w14:textId="6FD79D73" w:rsidR="00C525D2" w:rsidRPr="00586090" w:rsidRDefault="0007525B" w:rsidP="00E50068">
            <w:pPr>
              <w:pStyle w:val="TableParagraph"/>
              <w:ind w:left="102" w:right="116"/>
              <w:jc w:val="both"/>
              <w:rPr>
                <w:rFonts w:ascii="Book Antiqua" w:hAnsi="Book Antiqua"/>
                <w:spacing w:val="-1"/>
                <w:w w:val="90"/>
                <w:szCs w:val="24"/>
              </w:rPr>
            </w:pPr>
            <w:r w:rsidRPr="0007525B">
              <w:rPr>
                <w:rFonts w:ascii="Book Antiqua" w:hAnsi="Book Antiqua"/>
                <w:spacing w:val="-1"/>
                <w:w w:val="90"/>
                <w:sz w:val="24"/>
                <w:szCs w:val="24"/>
              </w:rPr>
              <w:t>The primary objective of this research is to examine the relationship between social media usage and student mental health. Moreover, the purpose of this study is to examine the role of stress levels on student mental health. Furthermore, the objective is to examine the mediating role of sleep quality in the relationship between stress levels and student mental health. The current study employs a quantitative research design. Researchers follow a positivist research philosophy. Our population is known, so researchers used simple random sampling. The population for this current research is constant in Thal University Bhakkar. The sample size of 300 participants is required for adequate statistical power. Researchers used SPSS and Smart PLS-SEM for data analysis. The current study findings show that there is a significant role of social media usage on student mental health. Furthermore, the findings show that stress levels are a stronger predictor of student mental health than social media usage. Lastly, the findings show that there is a significant mediating role of sleep quality in the relationship between stress levels and student mental health</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4E987D76"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07525B">
              <w:rPr>
                <w:rFonts w:ascii="Book Antiqua" w:hAnsi="Book Antiqua"/>
                <w:color w:val="C00000"/>
                <w:w w:val="95"/>
                <w:sz w:val="20"/>
              </w:rPr>
              <w:t>8</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4B11F288"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0C33CB08"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9014E9">
              <w:rPr>
                <w:rFonts w:ascii="Book Antiqua" w:hAnsi="Book Antiqua" w:cstheme="majorBidi"/>
                <w:color w:val="C00000"/>
                <w:sz w:val="20"/>
              </w:rPr>
              <w:t>14</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0ECBA44D" w:rsidR="00C525D2" w:rsidRPr="00EE35D8" w:rsidRDefault="0007525B" w:rsidP="0007525B">
            <w:pPr>
              <w:pStyle w:val="TableParagraph"/>
              <w:spacing w:line="222" w:lineRule="exact"/>
              <w:ind w:left="102"/>
              <w:jc w:val="both"/>
              <w:rPr>
                <w:rFonts w:ascii="Book Antiqua" w:hAnsi="Book Antiqua" w:cstheme="majorBidi"/>
                <w:color w:val="C00000"/>
                <w:sz w:val="20"/>
              </w:rPr>
            </w:pPr>
            <w:r w:rsidRPr="0007525B">
              <w:rPr>
                <w:rFonts w:ascii="Book Antiqua" w:hAnsi="Book Antiqua" w:cstheme="majorBidi"/>
                <w:color w:val="C00000"/>
                <w:sz w:val="20"/>
              </w:rPr>
              <w:t xml:space="preserve">Bibi, S., Yousaf, M., Yaseen, M., &amp; Muneer, S. (2024). Impact of social media usage and stress levels on student mental health: Mediation role of sleep quality. </w:t>
            </w:r>
            <w:r w:rsidRPr="0007525B">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07525B">
      <w:headerReference w:type="default" r:id="rId7"/>
      <w:footerReference w:type="default" r:id="rId8"/>
      <w:pgSz w:w="12240" w:h="15840"/>
      <w:pgMar w:top="1440" w:right="1440" w:bottom="1440" w:left="1440" w:header="720" w:footer="720" w:gutter="0"/>
      <w:pgNumType w:start="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7270" w14:textId="77777777" w:rsidR="00F638B2" w:rsidRDefault="00F638B2" w:rsidP="002B1BEE">
      <w:pPr>
        <w:spacing w:before="0" w:after="0" w:line="240" w:lineRule="auto"/>
      </w:pPr>
      <w:r>
        <w:separator/>
      </w:r>
    </w:p>
  </w:endnote>
  <w:endnote w:type="continuationSeparator" w:id="0">
    <w:p w14:paraId="0FA5E401" w14:textId="77777777" w:rsidR="00F638B2" w:rsidRDefault="00F638B2"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3A4756EE" w:rsidR="002B1BEE" w:rsidRPr="002B1BEE" w:rsidRDefault="009014E9">
        <w:pPr>
          <w:pStyle w:val="Footer"/>
          <w:jc w:val="right"/>
          <w:rPr>
            <w:color w:val="FF0000"/>
          </w:rPr>
        </w:pPr>
        <w:r>
          <w:rPr>
            <w:color w:val="FF0000"/>
          </w:rPr>
          <w:t>14</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790E" w14:textId="77777777" w:rsidR="00F638B2" w:rsidRDefault="00F638B2" w:rsidP="002B1BEE">
      <w:pPr>
        <w:spacing w:before="0" w:after="0" w:line="240" w:lineRule="auto"/>
      </w:pPr>
      <w:r>
        <w:separator/>
      </w:r>
    </w:p>
  </w:footnote>
  <w:footnote w:type="continuationSeparator" w:id="0">
    <w:p w14:paraId="10C94F33" w14:textId="77777777" w:rsidR="00F638B2" w:rsidRDefault="00F638B2"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3B79" w14:textId="1C46DD42" w:rsidR="00776E22" w:rsidRPr="002B1BEE" w:rsidRDefault="0007525B" w:rsidP="0007525B">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52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Sidra Bibi</w:t>
    </w:r>
    <w:r w:rsidR="00776E22" w:rsidRPr="002B1BEE">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52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Maryam Yousaf</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752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Muqadas Yaseen </w:t>
    </w:r>
    <w:r w:rsidR="00776E22" w:rsidRPr="002B1BEE">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&amp; </w:t>
    </w:r>
    <w:r w:rsidRPr="000752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Sadaf Muneer</w:t>
    </w:r>
  </w:p>
  <w:p w14:paraId="4DDAE0A9" w14:textId="77777777" w:rsidR="002B1BEE" w:rsidRPr="002B1BEE" w:rsidRDefault="002B1BEE">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07525B"/>
    <w:rsid w:val="00117872"/>
    <w:rsid w:val="00132032"/>
    <w:rsid w:val="001A067C"/>
    <w:rsid w:val="00222D2B"/>
    <w:rsid w:val="002B1BEE"/>
    <w:rsid w:val="002B467F"/>
    <w:rsid w:val="003965EA"/>
    <w:rsid w:val="003D7C7D"/>
    <w:rsid w:val="004734D9"/>
    <w:rsid w:val="004C38F4"/>
    <w:rsid w:val="00514821"/>
    <w:rsid w:val="00561150"/>
    <w:rsid w:val="00586090"/>
    <w:rsid w:val="00684D2D"/>
    <w:rsid w:val="00736FE7"/>
    <w:rsid w:val="0077300C"/>
    <w:rsid w:val="00776E22"/>
    <w:rsid w:val="007B118B"/>
    <w:rsid w:val="009014E9"/>
    <w:rsid w:val="00956898"/>
    <w:rsid w:val="00961C60"/>
    <w:rsid w:val="00962FF1"/>
    <w:rsid w:val="00996DF0"/>
    <w:rsid w:val="009C54B2"/>
    <w:rsid w:val="00A224AB"/>
    <w:rsid w:val="00A61E80"/>
    <w:rsid w:val="00A64434"/>
    <w:rsid w:val="00A83A54"/>
    <w:rsid w:val="00A85144"/>
    <w:rsid w:val="00A86805"/>
    <w:rsid w:val="00AB4A99"/>
    <w:rsid w:val="00B07F11"/>
    <w:rsid w:val="00C525D2"/>
    <w:rsid w:val="00C873F1"/>
    <w:rsid w:val="00CF7312"/>
    <w:rsid w:val="00D63704"/>
    <w:rsid w:val="00D94B25"/>
    <w:rsid w:val="00E85CFC"/>
    <w:rsid w:val="00EB40F4"/>
    <w:rsid w:val="00ED6FD9"/>
    <w:rsid w:val="00EE35D8"/>
    <w:rsid w:val="00F0485A"/>
    <w:rsid w:val="00F1643E"/>
    <w:rsid w:val="00F638B2"/>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12</cp:revision>
  <cp:lastPrinted>2025-01-24T18:52:00Z</cp:lastPrinted>
  <dcterms:created xsi:type="dcterms:W3CDTF">2025-01-24T18:55:00Z</dcterms:created>
  <dcterms:modified xsi:type="dcterms:W3CDTF">2025-02-21T03:29:00Z</dcterms:modified>
</cp:coreProperties>
</file>